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BEFA5">
      <w:pPr>
        <w:rPr>
          <w:rFonts w:hint="eastAsia"/>
        </w:rPr>
      </w:pPr>
      <w:r>
        <w:rPr>
          <w:rFonts w:hint="eastAsia"/>
        </w:rPr>
        <w:t>风控与机会策略文档</w:t>
      </w:r>
    </w:p>
    <w:p w14:paraId="70AC3194">
      <w:pPr>
        <w:rPr>
          <w:rFonts w:hint="eastAsia"/>
        </w:rPr>
      </w:pPr>
      <w:r>
        <w:rPr>
          <w:rFonts w:hint="eastAsia"/>
        </w:rPr>
        <w:t>好的，为您整合一份明晰、可直接落地的风控与机会策略文档。该策略融合了全球恐</w:t>
      </w:r>
    </w:p>
    <w:p w14:paraId="19BA77B7">
      <w:pPr>
        <w:rPr>
          <w:rFonts w:hint="eastAsia"/>
        </w:rPr>
      </w:pPr>
      <w:r>
        <w:rPr>
          <w:rFonts w:hint="eastAsia"/>
        </w:rPr>
        <w:t>慌指数（VIX） 、国内投资者情绪与杠杆资金情绪（融资盘） ，旨在构建一个多</w:t>
      </w:r>
    </w:p>
    <w:p w14:paraId="78CF4932">
      <w:pPr>
        <w:rPr>
          <w:rFonts w:hint="eastAsia"/>
        </w:rPr>
      </w:pPr>
      <w:r>
        <w:rPr>
          <w:rFonts w:hint="eastAsia"/>
        </w:rPr>
        <w:t>维度、可量化的决策系统。</w:t>
      </w:r>
    </w:p>
    <w:p w14:paraId="0F5F59D3">
      <w:pPr>
        <w:rPr>
          <w:rFonts w:hint="eastAsia"/>
        </w:rPr>
      </w:pPr>
      <w:r>
        <w:rPr>
          <w:rFonts w:hint="eastAsia"/>
        </w:rPr>
        <w:t>� 多维度市场情绪监测策略</w:t>
      </w:r>
    </w:p>
    <w:p w14:paraId="36577600">
      <w:pPr>
        <w:rPr>
          <w:rFonts w:hint="eastAsia"/>
        </w:rPr>
      </w:pPr>
      <w:r>
        <w:rPr>
          <w:rFonts w:hint="eastAsia"/>
        </w:rPr>
        <w:t>一、核心指标体系与信号定义</w:t>
      </w:r>
    </w:p>
    <w:p w14:paraId="2C1F51A6">
      <w:pPr>
        <w:rPr>
          <w:rFonts w:hint="eastAsia"/>
        </w:rPr>
      </w:pPr>
      <w:r>
        <w:rPr>
          <w:rFonts w:hint="eastAsia"/>
        </w:rPr>
        <w:t>本策略通过三类指标综合判断市场所处的“风险-机会”区间。</w:t>
      </w:r>
    </w:p>
    <w:p w14:paraId="6E9D40A9">
      <w:pPr>
        <w:rPr>
          <w:rFonts w:hint="eastAsia"/>
        </w:rPr>
      </w:pPr>
      <w:r>
        <w:drawing>
          <wp:inline distT="0" distB="0" distL="114300" distR="114300">
            <wp:extent cx="5265420" cy="1308100"/>
            <wp:effectExtent l="0" t="0" r="17780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F828889">
      <w:pPr>
        <w:rPr>
          <w:rFonts w:hint="eastAsia"/>
        </w:rPr>
      </w:pPr>
      <w:r>
        <w:rPr>
          <w:rFonts w:hint="eastAsia"/>
        </w:rPr>
        <w:t>二、策略逻辑框架与操作指南</w:t>
      </w:r>
    </w:p>
    <w:p w14:paraId="4FA1F206">
      <w:pPr>
        <w:rPr>
          <w:rFonts w:hint="eastAsia"/>
        </w:rPr>
      </w:pPr>
      <w:r>
        <w:rPr>
          <w:rFonts w:hint="eastAsia"/>
        </w:rPr>
        <w:t>策略的核心是 “三类情绪共振” 来判断市场是处于“高风险区”还是“高机会区”，并</w:t>
      </w:r>
    </w:p>
    <w:p w14:paraId="2915B8A6">
      <w:pPr>
        <w:rPr>
          <w:rFonts w:hint="eastAsia"/>
        </w:rPr>
      </w:pPr>
      <w:r>
        <w:rPr>
          <w:rFonts w:hint="eastAsia"/>
        </w:rPr>
        <w:t>据此操作。</w:t>
      </w:r>
    </w:p>
    <w:p w14:paraId="0F089556">
      <w:pPr>
        <w:rPr>
          <w:rFonts w:hint="eastAsia"/>
        </w:rPr>
      </w:pPr>
      <w:r>
        <w:rPr>
          <w:rFonts w:hint="eastAsia"/>
        </w:rPr>
        <w:t>1. 高风险区域识别与风控策略（对应“离场/观望”或“对冲”）</w:t>
      </w:r>
    </w:p>
    <w:p w14:paraId="2AE0DCEF">
      <w:pPr>
        <w:rPr>
          <w:rFonts w:hint="eastAsia"/>
        </w:rPr>
      </w:pPr>
      <w:r>
        <w:rPr>
          <w:rFonts w:hint="eastAsia"/>
        </w:rPr>
        <w:t>￮ 触发条件 ：当出现 “低 VIX (&lt;15) + 高国内情绪 + 融资盘亢奋” 的组</w:t>
      </w:r>
    </w:p>
    <w:p w14:paraId="7D769883">
      <w:pPr>
        <w:rPr>
          <w:rFonts w:hint="eastAsia"/>
        </w:rPr>
      </w:pPr>
      <w:r>
        <w:rPr>
          <w:rFonts w:hint="eastAsia"/>
        </w:rPr>
        <w:t>合时，市场可能处于高风险区域。</w:t>
      </w:r>
    </w:p>
    <w:p w14:paraId="68F7B526">
      <w:pPr>
        <w:rPr>
          <w:rFonts w:hint="eastAsia"/>
        </w:rPr>
      </w:pPr>
      <w:r>
        <w:rPr>
          <w:rFonts w:hint="eastAsia"/>
        </w:rPr>
        <w:t>￮ 核心逻辑 ：市场情绪亢奋，杠杆高企，且全球波动率处于低位，暗示风险</w:t>
      </w:r>
    </w:p>
    <w:p w14:paraId="33E105A7">
      <w:pPr>
        <w:rPr>
          <w:rFonts w:hint="eastAsia"/>
        </w:rPr>
      </w:pPr>
      <w:r>
        <w:rPr>
          <w:rFonts w:hint="eastAsia"/>
        </w:rPr>
        <w:t>可能被低估。</w:t>
      </w:r>
    </w:p>
    <w:p w14:paraId="25D730D7">
      <w:pPr>
        <w:rPr>
          <w:rFonts w:hint="eastAsia"/>
        </w:rPr>
      </w:pPr>
      <w:r>
        <w:rPr>
          <w:rFonts w:hint="eastAsia"/>
        </w:rPr>
        <w:t>￮ 具体操作 ：</w:t>
      </w:r>
    </w:p>
    <w:p w14:paraId="3BC2A84A">
      <w:pPr>
        <w:rPr>
          <w:rFonts w:hint="eastAsia"/>
        </w:rPr>
      </w:pPr>
      <w:r>
        <w:rPr>
          <w:rFonts w:hint="eastAsia"/>
        </w:rPr>
        <w:t>▪ 降低仓位 ：逐步将整体仓位降至中性或偏低水平（例如 5 成以下）。</w:t>
      </w:r>
    </w:p>
    <w:p w14:paraId="62E402CB">
      <w:pPr>
        <w:rPr>
          <w:rFonts w:hint="eastAsia"/>
        </w:rPr>
      </w:pPr>
      <w:r>
        <w:rPr>
          <w:rFonts w:hint="eastAsia"/>
        </w:rPr>
        <w:t>▪ 收紧止损 ：对现有持仓采取更严格的止损策略，如采用移动止盈（回撤</w:t>
      </w:r>
    </w:p>
    <w:p w14:paraId="382E238F">
      <w:pPr>
        <w:rPr>
          <w:rFonts w:hint="eastAsia"/>
        </w:rPr>
      </w:pPr>
      <w:r>
        <w:rPr>
          <w:rFonts w:hint="eastAsia"/>
        </w:rPr>
        <w:t>5%即平仓）。</w:t>
      </w:r>
    </w:p>
    <w:p w14:paraId="06CEFF2A">
      <w:pPr>
        <w:rPr>
          <w:rFonts w:hint="eastAsia"/>
        </w:rPr>
      </w:pPr>
      <w:r>
        <w:rPr>
          <w:rFonts w:hint="eastAsia"/>
        </w:rPr>
        <w:t>▪ 对冲准备 ：可考虑买入适量的虚值看跌期权或做空股指期货，对冲潜在的</w:t>
      </w:r>
    </w:p>
    <w:p w14:paraId="3A083C3D">
      <w:pPr>
        <w:rPr>
          <w:rFonts w:hint="eastAsia"/>
        </w:rPr>
      </w:pPr>
      <w:r>
        <w:rPr>
          <w:rFonts w:hint="eastAsia"/>
        </w:rPr>
        <w:t>下行风险。</w:t>
      </w:r>
    </w:p>
    <w:p w14:paraId="1C839739">
      <w:pPr>
        <w:rPr>
          <w:rFonts w:hint="eastAsia"/>
        </w:rPr>
      </w:pPr>
      <w:r>
        <w:rPr>
          <w:rFonts w:hint="eastAsia"/>
        </w:rPr>
        <w:t>2. 高机会区域识别与布局策略（对应“入场/加仓”）</w:t>
      </w:r>
    </w:p>
    <w:p w14:paraId="10537328">
      <w:pPr>
        <w:rPr>
          <w:rFonts w:hint="eastAsia"/>
        </w:rPr>
      </w:pPr>
      <w:r>
        <w:rPr>
          <w:rFonts w:hint="eastAsia"/>
        </w:rPr>
        <w:t>￮ 触发条件 ：当出现 “高 VIX (&gt;40) + 低国内情绪 + 融资盘出逃” 的组</w:t>
      </w:r>
    </w:p>
    <w:p w14:paraId="60CAE131">
      <w:pPr>
        <w:rPr>
          <w:rFonts w:hint="eastAsia"/>
        </w:rPr>
      </w:pPr>
      <w:r>
        <w:rPr>
          <w:rFonts w:hint="eastAsia"/>
        </w:rPr>
        <w:t>合时，市场可能处于高机会区域。</w:t>
      </w:r>
    </w:p>
    <w:p w14:paraId="15CC3B58">
      <w:pPr>
        <w:rPr>
          <w:rFonts w:hint="eastAsia"/>
        </w:rPr>
      </w:pPr>
      <w:r>
        <w:rPr>
          <w:rFonts w:hint="eastAsia"/>
        </w:rPr>
        <w:t>￮ 核心逻辑 ：市场情绪降至冰点，杠杆资金恐慌性撤离，而 VIX 飙升往往对</w:t>
      </w:r>
    </w:p>
    <w:p w14:paraId="022327C9">
      <w:pPr>
        <w:rPr>
          <w:rFonts w:hint="eastAsia"/>
        </w:rPr>
      </w:pPr>
      <w:r>
        <w:rPr>
          <w:rFonts w:hint="eastAsia"/>
        </w:rPr>
        <w:t>应着市场恐慌达到极致，历史数据显示此后 6 个月内股市上涨概率极高。</w:t>
      </w:r>
    </w:p>
    <w:p w14:paraId="02642F1F">
      <w:pPr>
        <w:rPr>
          <w:rFonts w:hint="eastAsia"/>
        </w:rPr>
      </w:pPr>
      <w:r>
        <w:rPr>
          <w:rFonts w:hint="eastAsia"/>
        </w:rPr>
        <w:t>￮ 具体操作 ：</w:t>
      </w:r>
    </w:p>
    <w:p w14:paraId="048F495E">
      <w:pPr>
        <w:rPr>
          <w:rFonts w:hint="eastAsia"/>
        </w:rPr>
      </w:pPr>
      <w:r>
        <w:rPr>
          <w:rFonts w:hint="eastAsia"/>
        </w:rPr>
        <w:t>▪ 核心原则 ： 分批买入，不盲目抄底。</w:t>
      </w:r>
    </w:p>
    <w:p w14:paraId="10565C8C">
      <w:pPr>
        <w:rPr>
          <w:rFonts w:hint="eastAsia"/>
        </w:rPr>
      </w:pPr>
      <w:r>
        <w:rPr>
          <w:rFonts w:hint="eastAsia"/>
        </w:rPr>
        <w:t>▪ 买入标的 ：优先选择流动性好的宽基指数 ETF （如沪深 300ETF）或您</w:t>
      </w:r>
    </w:p>
    <w:p w14:paraId="21FE1D5B">
      <w:pPr>
        <w:rPr>
          <w:rFonts w:hint="eastAsia"/>
        </w:rPr>
      </w:pPr>
      <w:r>
        <w:rPr>
          <w:rFonts w:hint="eastAsia"/>
        </w:rPr>
        <w:t>长期跟踪、研究透彻的行业龙头个股。</w:t>
      </w:r>
    </w:p>
    <w:p w14:paraId="730EF5DD">
      <w:pPr>
        <w:rPr>
          <w:rFonts w:hint="eastAsia"/>
        </w:rPr>
      </w:pPr>
      <w:r>
        <w:rPr>
          <w:rFonts w:hint="eastAsia"/>
        </w:rPr>
        <w:t>▪ 买入时机 ： 不要试图接住下落的刀。更稳妥的时机是等待 VIX 指数从极</w:t>
      </w:r>
    </w:p>
    <w:p w14:paraId="0DEB4DE8">
      <w:pPr>
        <w:rPr>
          <w:rFonts w:hint="eastAsia"/>
        </w:rPr>
      </w:pPr>
      <w:r>
        <w:rPr>
          <w:rFonts w:hint="eastAsia"/>
        </w:rPr>
        <w:t>端高位（如 45 以上） 开始回落 （例如回落 10%-15%），这通常意味着</w:t>
      </w:r>
    </w:p>
    <w:p w14:paraId="6DC29092">
      <w:pPr>
        <w:rPr>
          <w:rFonts w:hint="eastAsia"/>
        </w:rPr>
      </w:pPr>
      <w:r>
        <w:rPr>
          <w:rFonts w:hint="eastAsia"/>
        </w:rPr>
        <w:t>恐慌情绪得到初步释放。同时，A 股市场本身需出现日线级别的企稳信号</w:t>
      </w:r>
    </w:p>
    <w:p w14:paraId="05720E46">
      <w:pPr>
        <w:rPr>
          <w:rFonts w:hint="eastAsia"/>
        </w:rPr>
      </w:pPr>
      <w:r>
        <w:rPr>
          <w:rFonts w:hint="eastAsia"/>
        </w:rPr>
        <w:t>（如放量阳线）。</w:t>
      </w:r>
    </w:p>
    <w:p w14:paraId="0BCA4014">
      <w:pPr>
        <w:rPr>
          <w:rFonts w:hint="eastAsia"/>
        </w:rPr>
      </w:pPr>
      <w:r>
        <w:rPr>
          <w:rFonts w:hint="eastAsia"/>
        </w:rPr>
        <w:t>▪ 仓位管理 ：采用“金字塔”式加仓法，在信号触发初期建立小仓位（如</w:t>
      </w:r>
    </w:p>
    <w:p w14:paraId="5913081B">
      <w:pPr>
        <w:rPr>
          <w:rFonts w:hint="eastAsia"/>
        </w:rPr>
      </w:pPr>
      <w:r>
        <w:rPr>
          <w:rFonts w:hint="eastAsia"/>
        </w:rPr>
        <w:t>10%），待趋势进一步确认后逐步增加。</w:t>
      </w:r>
    </w:p>
    <w:p w14:paraId="11210B3B">
      <w:pPr>
        <w:rPr>
          <w:rFonts w:hint="eastAsia"/>
        </w:rPr>
      </w:pPr>
      <w:r>
        <w:rPr>
          <w:rFonts w:hint="eastAsia"/>
        </w:rPr>
        <w:t>三、策略执行流程与编码要点</w:t>
      </w:r>
    </w:p>
    <w:p w14:paraId="02896F05">
      <w:pPr>
        <w:rPr>
          <w:rFonts w:hint="eastAsia"/>
        </w:rPr>
      </w:pPr>
      <w:r>
        <w:rPr>
          <w:rFonts w:hint="eastAsia"/>
        </w:rPr>
        <w:t>建议您的量化系统按以下流程实现自动化监控与信号触发：</w:t>
      </w:r>
    </w:p>
    <w:p w14:paraId="534839C5">
      <w:pPr>
        <w:rPr>
          <w:rFonts w:hint="eastAsia"/>
        </w:rPr>
      </w:pPr>
      <w:r>
        <w:rPr>
          <w:rFonts w:hint="eastAsia"/>
        </w:rPr>
        <w:t>Plain Text</w:t>
      </w:r>
    </w:p>
    <w:p w14:paraId="5DB3A2C4">
      <w:pPr>
        <w:rPr>
          <w:rFonts w:hint="eastAsia"/>
        </w:rPr>
      </w:pPr>
      <w:r>
        <w:rPr>
          <w:rFonts w:hint="eastAsia"/>
        </w:rPr>
        <w:t>开始</w:t>
      </w:r>
    </w:p>
    <w:p w14:paraId="20F60968">
      <w:pPr>
        <w:rPr>
          <w:rFonts w:hint="eastAsia"/>
        </w:rPr>
      </w:pPr>
      <w:r>
        <w:rPr>
          <w:rFonts w:hint="eastAsia"/>
        </w:rPr>
        <w:t>├── 每日/每周数据获取</w:t>
      </w:r>
    </w:p>
    <w:p w14:paraId="5AB25F5A">
      <w:pPr>
        <w:rPr>
          <w:rFonts w:hint="eastAsia"/>
        </w:rPr>
      </w:pPr>
      <w:r>
        <w:rPr>
          <w:rFonts w:hint="eastAsia"/>
        </w:rPr>
        <w:t>│ ├── VIX 指数</w:t>
      </w:r>
    </w:p>
    <w:p w14:paraId="50EE7422">
      <w:pPr>
        <w:rPr>
          <w:rFonts w:hint="eastAsia"/>
        </w:rPr>
      </w:pPr>
      <w:r>
        <w:rPr>
          <w:rFonts w:hint="eastAsia"/>
        </w:rPr>
        <w:t>│ ├── 融资余额变化</w:t>
      </w:r>
    </w:p>
    <w:p w14:paraId="0D44248F">
      <w:pPr>
        <w:rPr>
          <w:rFonts w:hint="eastAsia"/>
        </w:rPr>
      </w:pPr>
      <w:r>
        <w:rPr>
          <w:rFonts w:hint="eastAsia"/>
        </w:rPr>
        <w:t>│ └── 投资者情绪指数（频率较低）</w:t>
      </w:r>
    </w:p>
    <w:p w14:paraId="1A518B9A">
      <w:pPr>
        <w:rPr>
          <w:rFonts w:hint="eastAsia"/>
        </w:rPr>
      </w:pPr>
      <w:r>
        <w:rPr>
          <w:rFonts w:hint="eastAsia"/>
        </w:rPr>
        <w:t>│</w:t>
      </w:r>
    </w:p>
    <w:p w14:paraId="7682C015">
      <w:pPr>
        <w:rPr>
          <w:rFonts w:hint="eastAsia"/>
        </w:rPr>
      </w:pPr>
      <w:r>
        <w:rPr>
          <w:rFonts w:hint="eastAsia"/>
        </w:rPr>
        <w:t>├── 信号判断模块</w:t>
      </w:r>
    </w:p>
    <w:p w14:paraId="6F1071E9">
      <w:pPr>
        <w:rPr>
          <w:rFonts w:hint="eastAsia"/>
        </w:rPr>
      </w:pPr>
      <w:r>
        <w:rPr>
          <w:rFonts w:hint="eastAsia"/>
        </w:rPr>
        <w:t>│ ├── IF VIX &gt; 40 AND 融资余额周降幅 &gt; 5% AND 情绪指数低位:</w:t>
      </w:r>
    </w:p>
    <w:p w14:paraId="1F8CD66E">
      <w:pPr>
        <w:rPr>
          <w:rFonts w:hint="eastAsia"/>
        </w:rPr>
      </w:pPr>
      <w:r>
        <w:rPr>
          <w:rFonts w:hint="eastAsia"/>
        </w:rPr>
        <w:t>│ │ └── 生成“高机会区域”警报</w:t>
      </w:r>
    </w:p>
    <w:p w14:paraId="425F4ADC">
      <w:pPr>
        <w:rPr>
          <w:rFonts w:hint="eastAsia"/>
        </w:rPr>
      </w:pPr>
      <w:r>
        <w:rPr>
          <w:rFonts w:hint="eastAsia"/>
        </w:rPr>
        <w:t>│ ├── ELIF VIX &lt; 15 AND 融资余额持续飙升 AND 情绪指数高位:</w:t>
      </w:r>
    </w:p>
    <w:p w14:paraId="6D7C0368">
      <w:pPr>
        <w:rPr>
          <w:rFonts w:hint="eastAsia"/>
        </w:rPr>
      </w:pPr>
      <w:r>
        <w:rPr>
          <w:rFonts w:hint="eastAsia"/>
        </w:rPr>
        <w:t>│ │ └── 生成“高风险区域”警报</w:t>
      </w:r>
    </w:p>
    <w:p w14:paraId="258C28DC">
      <w:pPr>
        <w:rPr>
          <w:rFonts w:hint="eastAsia"/>
        </w:rPr>
      </w:pPr>
      <w:r>
        <w:rPr>
          <w:rFonts w:hint="eastAsia"/>
        </w:rPr>
        <w:t>│ └── 其他情况则为“中性区域”，维持既定策略</w:t>
      </w:r>
    </w:p>
    <w:p w14:paraId="3C746164">
      <w:pPr>
        <w:rPr>
          <w:rFonts w:hint="eastAsia"/>
        </w:rPr>
      </w:pPr>
      <w:r>
        <w:rPr>
          <w:rFonts w:hint="eastAsia"/>
        </w:rPr>
        <w:t>│</w:t>
      </w:r>
    </w:p>
    <w:p w14:paraId="765EA1CF">
      <w:pPr>
        <w:rPr>
          <w:rFonts w:hint="eastAsia"/>
        </w:rPr>
      </w:pPr>
      <w:r>
        <w:rPr>
          <w:rFonts w:hint="eastAsia"/>
        </w:rPr>
        <w:t>└── 执行与风控模块</w:t>
      </w:r>
    </w:p>
    <w:p w14:paraId="79A9FF47">
      <w:pPr>
        <w:rPr>
          <w:rFonts w:hint="eastAsia"/>
        </w:rPr>
      </w:pPr>
      <w:r>
        <w:rPr>
          <w:rFonts w:hint="eastAsia"/>
        </w:rPr>
        <w:t>├── 收到“高机会”警报：</w:t>
      </w:r>
    </w:p>
    <w:p w14:paraId="73EA84E4">
      <w:pPr>
        <w:rPr>
          <w:rFonts w:hint="eastAsia"/>
        </w:rPr>
      </w:pPr>
      <w:r>
        <w:rPr>
          <w:rFonts w:hint="eastAsia"/>
        </w:rPr>
        <w:t>│ ├── 检查目标标的估值（如 PE 分位数 &lt; 20%）</w:t>
      </w:r>
    </w:p>
    <w:p w14:paraId="2CBD40F9">
      <w:pPr>
        <w:rPr>
          <w:rFonts w:hint="eastAsia"/>
        </w:rPr>
      </w:pPr>
      <w:r>
        <w:rPr>
          <w:rFonts w:hint="eastAsia"/>
        </w:rPr>
        <w:t>│ ├── 执行分批买入逻辑</w:t>
      </w:r>
    </w:p>
    <w:p w14:paraId="155B7A69">
      <w:pPr>
        <w:rPr>
          <w:rFonts w:hint="eastAsia"/>
        </w:rPr>
      </w:pPr>
      <w:r>
        <w:rPr>
          <w:rFonts w:hint="eastAsia"/>
        </w:rPr>
        <w:t>│ └── 设置较宽止损（如-10%至-15%），给予波动空间</w:t>
      </w:r>
    </w:p>
    <w:p w14:paraId="4A77AEEB">
      <w:pPr>
        <w:rPr>
          <w:rFonts w:hint="eastAsia"/>
        </w:rPr>
      </w:pPr>
      <w:r>
        <w:rPr>
          <w:rFonts w:hint="eastAsia"/>
        </w:rPr>
        <w:t>│</w:t>
      </w:r>
    </w:p>
    <w:p w14:paraId="10AFADCA">
      <w:pPr>
        <w:rPr>
          <w:rFonts w:hint="eastAsia"/>
        </w:rPr>
      </w:pPr>
      <w:r>
        <w:rPr>
          <w:rFonts w:hint="eastAsia"/>
        </w:rPr>
        <w:t>└── 收到“高风险”警报：</w:t>
      </w:r>
    </w:p>
    <w:p w14:paraId="158F2951">
      <w:pPr>
        <w:rPr>
          <w:rFonts w:hint="eastAsia"/>
        </w:rPr>
      </w:pPr>
      <w:r>
        <w:rPr>
          <w:rFonts w:hint="eastAsia"/>
        </w:rPr>
        <w:t>├── 触发减仓或对冲指令</w:t>
      </w:r>
    </w:p>
    <w:p w14:paraId="48E273AF">
      <w:pPr>
        <w:rPr>
          <w:rFonts w:hint="eastAsia"/>
        </w:rPr>
      </w:pPr>
      <w:r>
        <w:rPr>
          <w:rFonts w:hint="eastAsia"/>
        </w:rPr>
        <w:t>└── 收紧所有持仓的止损/止盈条件</w:t>
      </w:r>
    </w:p>
    <w:p w14:paraId="4DDB13EF">
      <w:pPr>
        <w:rPr>
          <w:rFonts w:hint="eastAsia"/>
        </w:rPr>
      </w:pPr>
      <w:r>
        <w:rPr>
          <w:rFonts w:hint="eastAsia"/>
        </w:rPr>
        <w:t>⚠️ 重要提示 ：</w:t>
      </w:r>
    </w:p>
    <w:p w14:paraId="50A9524A">
      <w:pPr>
        <w:rPr>
          <w:rFonts w:hint="eastAsia"/>
        </w:rPr>
      </w:pPr>
      <w:r>
        <w:rPr>
          <w:rFonts w:hint="eastAsia"/>
        </w:rPr>
        <w:t>• 避免单一指标依赖 ：任何情绪指标都需结合技术面分析 （如价格是否止跌）</w:t>
      </w:r>
    </w:p>
    <w:p w14:paraId="096542C3">
      <w:pPr>
        <w:rPr>
          <w:rFonts w:hint="eastAsia"/>
        </w:rPr>
      </w:pPr>
      <w:r>
        <w:rPr>
          <w:rFonts w:hint="eastAsia"/>
        </w:rPr>
        <w:t>和基本面估值 （如 PE 分位数是否处于低位）进行综合判断，以排除“低估值陷阱”或</w:t>
      </w:r>
    </w:p>
    <w:p w14:paraId="4A4F3D6A">
      <w:pPr>
        <w:rPr>
          <w:rFonts w:hint="eastAsia"/>
        </w:rPr>
      </w:pPr>
      <w:r>
        <w:rPr>
          <w:rFonts w:hint="eastAsia"/>
        </w:rPr>
        <w:t>“失效信号”。</w:t>
      </w:r>
    </w:p>
    <w:p w14:paraId="58818792">
      <w:pPr>
        <w:rPr>
          <w:rFonts w:hint="eastAsia"/>
        </w:rPr>
      </w:pPr>
      <w:r>
        <w:rPr>
          <w:rFonts w:hint="eastAsia"/>
        </w:rPr>
        <w:t>• A 股适应性 ：VIX 是美股指标，对 A 股是情绪传导。A 股自身的波动率特征和</w:t>
      </w:r>
    </w:p>
    <w:p w14:paraId="323B5080">
      <w:pPr>
        <w:rPr>
          <w:rFonts w:hint="eastAsia"/>
        </w:rPr>
      </w:pPr>
      <w:r>
        <w:rPr>
          <w:rFonts w:hint="eastAsia"/>
        </w:rPr>
        <w:t>涨跌停制度会影响其有效性，阈值可根据历史回测进行微调。</w:t>
      </w:r>
    </w:p>
    <w:p w14:paraId="22D56F2F">
      <w:pPr>
        <w:rPr>
          <w:rFonts w:hint="eastAsia"/>
        </w:rPr>
      </w:pPr>
      <w:r>
        <w:rPr>
          <w:rFonts w:hint="eastAsia"/>
        </w:rPr>
        <w:t>• 纪律性执行 ：量化策略的价值在于克服人性弱点。一旦信号触发，应系统化执</w:t>
      </w:r>
    </w:p>
    <w:p w14:paraId="7980D012">
      <w:pPr>
        <w:rPr>
          <w:rFonts w:hint="eastAsia"/>
        </w:rPr>
      </w:pPr>
      <w:r>
        <w:rPr>
          <w:rFonts w:hint="eastAsia"/>
        </w:rPr>
        <w:t>行，避免情绪化干预。</w:t>
      </w:r>
    </w:p>
    <w:p w14:paraId="77F59416">
      <w:pPr>
        <w:rPr>
          <w:rFonts w:hint="eastAsia"/>
        </w:rPr>
      </w:pPr>
      <w:r>
        <w:rPr>
          <w:rFonts w:hint="eastAsia"/>
        </w:rPr>
        <w:t>希望这份清晰的策略框架能助您高效完成编码，将市场情绪的“温度计”转化为实实在在</w:t>
      </w:r>
    </w:p>
    <w:p w14:paraId="09ACCFAD">
      <w:pPr>
        <w:rPr>
          <w:rFonts w:hint="eastAsia"/>
        </w:rPr>
      </w:pPr>
      <w:r>
        <w:rPr>
          <w:rFonts w:hint="eastAsia"/>
        </w:rPr>
        <w:t>的决策工具。</w:t>
      </w:r>
    </w:p>
    <w:p w14:paraId="30D1B0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EB7D70"/>
    <w:rsid w:val="7AE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Office_6.15.1.8935_F1E327BC-269C-435d-A152-05C5408002CA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2025-11-20T12:03:00Z</dcterms:created>
  <dc:creator>哈利路亚</dc:creator>
  <cp:lastModifiedBy>哈利路亚</cp:lastModifiedBy>
  <dcterms:modified xsi:type="dcterms:W3CDTF">2025-11-20T12:06:03Z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2052-6.15.1.8935</vt:lpwstr>
  </property>
  <property fmtid="{D5CDD505-2E9C-101B-9397-08002B2CF9AE}" pid="3" name="ICV">
    <vt:lpwstr>C907FEB02FC0AB09FB921E69E939D104_41</vt:lpwstr>
  </property>
</Properties>
</file>