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spacing w:before="480" w:after="480" w:line="288" w:lineRule="auto"/>
        <w:ind w:left="0"/>
      </w:pPr>
      <w:r>
        <w:rPr>
          <w:rFonts w:eastAsia="等线" w:ascii="Arial" w:cs="Arial" w:hAnsi="Arial"/>
          <w:b w:val="true"/>
          <w:sz w:val="52"/>
        </w:rPr>
        <w:t>缠论宽基纯策略终极版(2025-10-08)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缠论宽基纯策略终极版(2025-10-08)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核心交易原则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==================================================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1.1 缠论交易框架</w:t>
      </w:r>
    </w:p>
    <w:p>
      <w:pPr>
        <w:pBdr>
          <w:bottom w:val="single" w:color="dee0e3"/>
          <w:between w:val="single" w:color="dee0e3"/>
        </w:pBdr>
        <w:spacing w:before="120" w:after="120" w:line="288" w:lineRule="auto"/>
        <w:ind w:left="0"/>
      </w:pPr>
    </w:p>
    <w:p>
      <w:pPr>
        <w:numPr>
          <w:numId w:val="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趋势跟踪：笔/段/中枢结构</w:t>
      </w:r>
    </w:p>
    <w:p>
      <w:pPr>
        <w:numPr>
          <w:numId w:val="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三类买点仓位分配</w:t>
      </w:r>
    </w:p>
    <w:p>
      <w:pPr>
        <w:numPr>
          <w:numId w:val="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动态仓位调整</w:t>
      </w:r>
    </w:p>
    <w:p>
      <w:pPr>
        <w:numPr>
          <w:numId w:val="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风险控制优先</w:t>
      </w:r>
    </w:p>
    <w:p>
      <w:pPr>
        <w:spacing w:before="120" w:after="120" w:line="288" w:lineRule="auto"/>
        <w:ind w:left="453"/>
        <w:jc w:val="left"/>
      </w:pPr>
    </w:p>
    <w:p>
      <w:pPr>
        <w:numPr>
          <w:numId w:val="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买点策略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==================================================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2.1 三类买点仓位分配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+-----------------+-----------------+-----------------+-----------------------------------+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| 买点类型        | 仓位分配        | 风险控制        | 确认条件                          |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+-----------------+-----------------+-----------------+-----------------------------------+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| 一买            | 10-15%          | 止损3%          | 底背驰+MACD金叉+突破趋势线        |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| 二买            | 40-50%          | 止损2%          | 回踩不破前低+量能萎缩后放大       |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| 三买            | 20-25%          | 止损2.5%        | 回踩不破中枢上沿                  |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+-----------------+-----------------+-----------------+-----------------------------------+</w:t>
      </w:r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总仓位限制：≤70%，单ETF≤40%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卖出策略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==================================================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3.1 分级卖出规则</w:t>
      </w:r>
    </w:p>
    <w:p>
      <w:pPr>
        <w:pBdr>
          <w:bottom w:val="single" w:color="dee0e3"/>
          <w:between w:val="single" w:color="dee0e3"/>
        </w:pBdr>
        <w:spacing w:before="120" w:after="120" w:line="288" w:lineRule="auto"/>
        <w:ind w:left="0"/>
      </w:pPr>
    </w:p>
    <w:p>
      <w:pPr>
        <w:numPr>
          <w:numId w:val="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首次顶背驰 → 减仓50%</w:t>
      </w:r>
    </w:p>
    <w:p>
      <w:pPr>
        <w:numPr>
          <w:numId w:val="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二次顶背驰 → 减仓至25%</w:t>
      </w:r>
    </w:p>
    <w:p>
      <w:pPr>
        <w:numPr>
          <w:numId w:val="1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跌破生命线 → 清仓</w:t>
      </w:r>
    </w:p>
    <w:p>
      <w:pPr>
        <w:spacing w:before="120" w:after="120" w:line="288" w:lineRule="auto"/>
        <w:ind w:left="453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3.2 紧急卖出规则</w:t>
      </w:r>
    </w:p>
    <w:p>
      <w:pPr>
        <w:pBdr>
          <w:bottom w:val="single" w:color="dee0e3"/>
          <w:between w:val="single" w:color="dee0e3"/>
        </w:pBdr>
        <w:spacing w:before="120" w:after="120" w:line="288" w:lineRule="auto"/>
        <w:ind w:left="0"/>
      </w:pPr>
    </w:p>
    <w:p>
      <w:pPr>
        <w:numPr>
          <w:numId w:val="1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单日跌幅&gt;3% → 减仓50%</w:t>
      </w:r>
    </w:p>
    <w:p>
      <w:pPr>
        <w:numPr>
          <w:numId w:val="1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波动率&gt;5%+量能&gt;150% → 清仓</w:t>
      </w:r>
    </w:p>
    <w:p>
      <w:pPr>
        <w:spacing w:before="120" w:after="120" w:line="288" w:lineRule="auto"/>
        <w:ind w:left="453"/>
        <w:jc w:val="left"/>
      </w:pPr>
    </w:p>
    <w:p>
      <w:pPr>
        <w:numPr>
          <w:numId w:val="1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仓位管理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==================================================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4.1 市场状态仓位控制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+-----------------+-----------------+-----------------+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| 市场状态        | 仓位限制        | 特殊规则        |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+-----------------+-----------------+-----------------+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| 趋势市          | ≤70%            | -               |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| 震荡市          | ≤30%            | -               |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| 下跌市          | 0%              | -               |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| 黑天鹅机会      | ≤40%            | 三重过滤机制    |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+-----------------+-----------------+-----------------+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1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冲突解决方案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==================================================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5.1 规则优先级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+-----------------------------------+-----------------+-----------------+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| 触发条件                          | 操作            | 优先级          |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+-----------------------------------+-----------------+-----------------+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| 5日线下单日放量跌幅&gt;3%            | 立即减仓50%     | 高              |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| 顶分型+首次顶背驰                 | 减仓50%         | 中              |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| 二次顶背驰                        | 减仓至25%       | 高              |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| 跌破生命线                        | 清仓            | 最高            |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+-----------------------------------+-----------------+-----------------+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1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自动化风控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==================================================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def auto_risk_control(position, price):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 xml:space="preserve">    # 单日暴跌处理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 xml:space="preserve">    if daily_drop(price) &gt; 0.03: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 xml:space="preserve">        adjust_position(position, 0.5)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 xml:space="preserve">    # 黑天鹅事件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 xml:space="preserve">    if volatility &gt; 0.05 and volume_increase &gt; 1.5: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 xml:space="preserve">        clear_all_positions()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 xml:space="preserve">    # 连续亏损暂停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 xml:space="preserve">    if consecutive_losses &gt;= 3: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 xml:space="preserve">        pause_trading(7)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1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量化标准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==================================================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+-----------------+-----------------+-----------------+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| 参数            | 标准值          | 说明            |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+-----------------+-----------------+-----------------+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| 生命线          | 20/60日均线     | 连续2日跌破     |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| 量能萎缩        | &lt;70%            | 买入信号        |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| 冲关成功        | &gt;3%涨幅+&gt;150%量能 | 突破确认        |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+-----------------+-----------------+-----------------+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1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操作建议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==================================================</w:t>
      </w:r>
    </w:p>
    <w:p>
      <w:pPr>
        <w:numPr>
          <w:numId w:val="1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立即删除旧文档：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rm /path/to/缠论宽基纯策略版.docx</w:t>
      </w:r>
    </w:p>
    <w:p>
      <w:pPr>
        <w:spacing w:before="120" w:after="120" w:line="288" w:lineRule="auto"/>
        <w:ind w:left="453"/>
        <w:jc w:val="left"/>
      </w:pPr>
    </w:p>
    <w:p>
      <w:pPr>
        <w:numPr>
          <w:numId w:val="1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使用新文档替代：</w:t>
      </w:r>
    </w:p>
    <w:p>
      <w:pPr>
        <w:numPr>
          <w:numId w:val="20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保存为：docs/strategies/缠论宽基纯策略终极版.docx</w:t>
      </w:r>
    </w:p>
    <w:p>
      <w:pPr>
        <w:spacing w:before="120" w:after="120" w:line="288" w:lineRule="auto"/>
        <w:ind w:left="907"/>
        <w:jc w:val="left"/>
      </w:pPr>
    </w:p>
    <w:p>
      <w:pPr>
        <w:numPr>
          <w:numId w:val="2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系统配置更新：</w:t>
      </w:r>
    </w:p>
    <w:p>
      <w:p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system.yaml</w:t>
      </w:r>
    </w:p>
    <w:p>
      <w:p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strategy:</w:t>
      </w:r>
    </w:p>
    <w:p>
      <w:p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 xml:space="preserve">  active: 缠论宽基纯策略终极版</w:t>
      </w:r>
    </w:p>
    <w:p>
      <w:p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 xml:space="preserve">  version: 2025-10-08</w:t>
      </w:r>
    </w:p>
    <w:p>
      <w:pPr>
        <w:spacing w:before="120" w:after="120" w:line="288" w:lineRule="auto"/>
        <w:ind w:left="453"/>
        <w:jc w:val="left"/>
      </w:pPr>
    </w:p>
    <w:p>
      <w:pPr>
        <w:numPr>
          <w:numId w:val="2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替代可行性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==================================================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√ 完全可替代：新文档修正仓位分配错误，一买10-15%、二买40-50%、三买20-25%，其他部分已检查并保持一致。</w:t>
      </w:r>
    </w:p>
    <w:sectPr>
      <w:footerReference w:type="default" r:id="rId3"/>
      <w:headerReference w:type="default" r:id="rId5"/>
      <w:pgSz w:orient="portrait" w:h="16840" w:w="11905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numbering.xml><?xml version="1.0" encoding="utf-8"?>
<w:numbering xmlns:w="http://schemas.openxmlformats.org/wordprocessingml/2006/main">
  <w:abstractNum w:abstractNumId="825974">
    <w:lvl>
      <w:start w:val="1"/>
      <w:numFmt w:val="decimal"/>
      <w:suff w:val="tab"/>
      <w:lvlText w:val="%1."/>
      <w:rPr>
        <w:color w:val="3370ff"/>
      </w:rPr>
    </w:lvl>
  </w:abstractNum>
  <w:abstractNum w:abstractNumId="825975">
    <w:lvl>
      <w:numFmt w:val="bullet"/>
      <w:suff w:val="tab"/>
      <w:lvlText w:val="•"/>
      <w:rPr>
        <w:color w:val="3370ff"/>
      </w:rPr>
    </w:lvl>
  </w:abstractNum>
  <w:abstractNum w:abstractNumId="825976">
    <w:lvl>
      <w:numFmt w:val="bullet"/>
      <w:suff w:val="tab"/>
      <w:lvlText w:val="•"/>
      <w:rPr>
        <w:color w:val="3370ff"/>
      </w:rPr>
    </w:lvl>
  </w:abstractNum>
  <w:abstractNum w:abstractNumId="825977">
    <w:lvl>
      <w:numFmt w:val="bullet"/>
      <w:suff w:val="tab"/>
      <w:lvlText w:val="•"/>
      <w:rPr>
        <w:color w:val="3370ff"/>
      </w:rPr>
    </w:lvl>
  </w:abstractNum>
  <w:abstractNum w:abstractNumId="825978">
    <w:lvl>
      <w:numFmt w:val="bullet"/>
      <w:suff w:val="tab"/>
      <w:lvlText w:val="•"/>
      <w:rPr>
        <w:color w:val="3370ff"/>
      </w:rPr>
    </w:lvl>
  </w:abstractNum>
  <w:abstractNum w:abstractNumId="825979">
    <w:lvl>
      <w:start w:val="2"/>
      <w:numFmt w:val="decimal"/>
      <w:suff w:val="tab"/>
      <w:lvlText w:val="%1."/>
      <w:rPr>
        <w:color w:val="3370ff"/>
      </w:rPr>
    </w:lvl>
  </w:abstractNum>
  <w:abstractNum w:abstractNumId="825980">
    <w:lvl>
      <w:start w:val="3"/>
      <w:numFmt w:val="decimal"/>
      <w:suff w:val="tab"/>
      <w:lvlText w:val="%1."/>
      <w:rPr>
        <w:color w:val="3370ff"/>
      </w:rPr>
    </w:lvl>
  </w:abstractNum>
  <w:abstractNum w:abstractNumId="825981">
    <w:lvl>
      <w:start w:val="1"/>
      <w:numFmt w:val="decimal"/>
      <w:suff w:val="tab"/>
      <w:lvlText w:val="%1."/>
      <w:rPr>
        <w:color w:val="3370ff"/>
      </w:rPr>
    </w:lvl>
  </w:abstractNum>
  <w:abstractNum w:abstractNumId="825982">
    <w:lvl>
      <w:start w:val="2"/>
      <w:numFmt w:val="decimal"/>
      <w:suff w:val="tab"/>
      <w:lvlText w:val="%1."/>
      <w:rPr>
        <w:color w:val="3370ff"/>
      </w:rPr>
    </w:lvl>
  </w:abstractNum>
  <w:abstractNum w:abstractNumId="825983">
    <w:lvl>
      <w:start w:val="3"/>
      <w:numFmt w:val="decimal"/>
      <w:suff w:val="tab"/>
      <w:lvlText w:val="%1."/>
      <w:rPr>
        <w:color w:val="3370ff"/>
      </w:rPr>
    </w:lvl>
  </w:abstractNum>
  <w:abstractNum w:abstractNumId="825984">
    <w:lvl>
      <w:numFmt w:val="bullet"/>
      <w:suff w:val="tab"/>
      <w:lvlText w:val="•"/>
      <w:rPr>
        <w:color w:val="3370ff"/>
      </w:rPr>
    </w:lvl>
  </w:abstractNum>
  <w:abstractNum w:abstractNumId="825985">
    <w:lvl>
      <w:numFmt w:val="bullet"/>
      <w:suff w:val="tab"/>
      <w:lvlText w:val="•"/>
      <w:rPr>
        <w:color w:val="3370ff"/>
      </w:rPr>
    </w:lvl>
  </w:abstractNum>
  <w:abstractNum w:abstractNumId="825986">
    <w:lvl>
      <w:start w:val="4"/>
      <w:numFmt w:val="decimal"/>
      <w:suff w:val="tab"/>
      <w:lvlText w:val="%1."/>
      <w:rPr>
        <w:color w:val="3370ff"/>
      </w:rPr>
    </w:lvl>
  </w:abstractNum>
  <w:abstractNum w:abstractNumId="825987">
    <w:lvl>
      <w:start w:val="5"/>
      <w:numFmt w:val="decimal"/>
      <w:suff w:val="tab"/>
      <w:lvlText w:val="%1."/>
      <w:rPr>
        <w:color w:val="3370ff"/>
      </w:rPr>
    </w:lvl>
  </w:abstractNum>
  <w:abstractNum w:abstractNumId="825988">
    <w:lvl>
      <w:start w:val="6"/>
      <w:numFmt w:val="decimal"/>
      <w:suff w:val="tab"/>
      <w:lvlText w:val="%1."/>
      <w:rPr>
        <w:color w:val="3370ff"/>
      </w:rPr>
    </w:lvl>
  </w:abstractNum>
  <w:abstractNum w:abstractNumId="825989">
    <w:lvl>
      <w:start w:val="7"/>
      <w:numFmt w:val="decimal"/>
      <w:suff w:val="tab"/>
      <w:lvlText w:val="%1."/>
      <w:rPr>
        <w:color w:val="3370ff"/>
      </w:rPr>
    </w:lvl>
  </w:abstractNum>
  <w:abstractNum w:abstractNumId="825990">
    <w:lvl>
      <w:start w:val="8"/>
      <w:numFmt w:val="decimal"/>
      <w:suff w:val="tab"/>
      <w:lvlText w:val="%1."/>
      <w:rPr>
        <w:color w:val="3370ff"/>
      </w:rPr>
    </w:lvl>
  </w:abstractNum>
  <w:abstractNum w:abstractNumId="825991">
    <w:lvl>
      <w:start w:val="1"/>
      <w:numFmt w:val="decimal"/>
      <w:suff w:val="tab"/>
      <w:lvlText w:val="%1."/>
      <w:rPr>
        <w:color w:val="3370ff"/>
      </w:rPr>
    </w:lvl>
  </w:abstractNum>
  <w:abstractNum w:abstractNumId="825992">
    <w:lvl>
      <w:start w:val="2"/>
      <w:numFmt w:val="decimal"/>
      <w:suff w:val="tab"/>
      <w:lvlText w:val="%1."/>
      <w:rPr>
        <w:color w:val="3370ff"/>
      </w:rPr>
    </w:lvl>
  </w:abstractNum>
  <w:abstractNum w:abstractNumId="825993">
    <w:lvl>
      <w:numFmt w:val="bullet"/>
      <w:suff w:val="tab"/>
      <w:lvlText w:val="￮"/>
      <w:rPr>
        <w:color w:val="3370ff"/>
      </w:rPr>
    </w:lvl>
  </w:abstractNum>
  <w:abstractNum w:abstractNumId="825994">
    <w:lvl>
      <w:start w:val="3"/>
      <w:numFmt w:val="decimal"/>
      <w:suff w:val="tab"/>
      <w:lvlText w:val="%1."/>
      <w:rPr>
        <w:color w:val="3370ff"/>
      </w:rPr>
    </w:lvl>
  </w:abstractNum>
  <w:abstractNum w:abstractNumId="825995">
    <w:lvl>
      <w:start w:val="9"/>
      <w:numFmt w:val="decimal"/>
      <w:suff w:val="tab"/>
      <w:lvlText w:val="%1."/>
      <w:rPr>
        <w:color w:val="3370ff"/>
      </w:rPr>
    </w:lvl>
  </w:abstractNum>
  <w:num w:numId="1">
    <w:abstractNumId w:val="825974"/>
  </w:num>
  <w:num w:numId="2">
    <w:abstractNumId w:val="825975"/>
  </w:num>
  <w:num w:numId="3">
    <w:abstractNumId w:val="825976"/>
  </w:num>
  <w:num w:numId="4">
    <w:abstractNumId w:val="825977"/>
  </w:num>
  <w:num w:numId="5">
    <w:abstractNumId w:val="825978"/>
  </w:num>
  <w:num w:numId="6">
    <w:abstractNumId w:val="825979"/>
  </w:num>
  <w:num w:numId="7">
    <w:abstractNumId w:val="825980"/>
  </w:num>
  <w:num w:numId="8">
    <w:abstractNumId w:val="825981"/>
  </w:num>
  <w:num w:numId="9">
    <w:abstractNumId w:val="825982"/>
  </w:num>
  <w:num w:numId="10">
    <w:abstractNumId w:val="825983"/>
  </w:num>
  <w:num w:numId="11">
    <w:abstractNumId w:val="825984"/>
  </w:num>
  <w:num w:numId="12">
    <w:abstractNumId w:val="825985"/>
  </w:num>
  <w:num w:numId="13">
    <w:abstractNumId w:val="825986"/>
  </w:num>
  <w:num w:numId="14">
    <w:abstractNumId w:val="825987"/>
  </w:num>
  <w:num w:numId="15">
    <w:abstractNumId w:val="825988"/>
  </w:num>
  <w:num w:numId="16">
    <w:abstractNumId w:val="825989"/>
  </w:num>
  <w:num w:numId="17">
    <w:abstractNumId w:val="825990"/>
  </w:num>
  <w:num w:numId="18">
    <w:abstractNumId w:val="825991"/>
  </w:num>
  <w:num w:numId="19">
    <w:abstractNumId w:val="825992"/>
  </w:num>
  <w:num w:numId="20">
    <w:abstractNumId w:val="825993"/>
  </w:num>
  <w:num w:numId="21">
    <w:abstractNumId w:val="825994"/>
  </w:num>
  <w:num w:numId="22">
    <w:abstractNumId w:val="825995"/>
  </w:num>
</w:numbering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arget="settings.xml" Type="http://schemas.openxmlformats.org/officeDocument/2006/relationships/settings"/><Relationship Id="rId2" Target="styles.xml" Type="http://schemas.openxmlformats.org/officeDocument/2006/relationships/styles"/><Relationship Id="rId3" Target="footer1.xml" Type="http://schemas.openxmlformats.org/officeDocument/2006/relationships/footer"/><Relationship Id="rId4" Target="numbering.xml" Type="http://schemas.openxmlformats.org/officeDocument/2006/relationships/numbering"/><Relationship Id="rId5" Target="header1.xml" Type="http://schemas.openxmlformats.org/officeDocument/2006/relationships/header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2025-11-20T04:10:44Z</dcterms:created>
  <dc:creator>Apache POI</dc:creator>
</cp:coreProperties>
</file>